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d564772a7bfdb965f3345f6f1d1b934e382fd9b"/>
    <w:p>
      <w:pPr>
        <w:pStyle w:val="Heading1"/>
      </w:pPr>
      <w:r>
        <w:t xml:space="preserve">A Town Council for High Wycombe - The Business Case</w:t>
      </w:r>
    </w:p>
    <w:p>
      <w:pPr>
        <w:pStyle w:val="FirstParagraph"/>
      </w:pPr>
      <w:r>
        <w:rPr>
          <w:i/>
          <w:iCs/>
        </w:rPr>
        <w:t xml:space="preserve">A prospectus for Buckinghamshire councillors and for residents of the unparished town. Party-neutral, evidence-led, and specific enough to hold us to.</w:t>
      </w:r>
    </w:p>
    <w:p>
      <w:r>
        <w:pict>
          <v:rect style="width:0;height:1.5pt" o:hralign="center" o:hrstd="t" o:hr="t"/>
        </w:pict>
      </w:r>
    </w:p>
    <w:bookmarkStart w:id="9" w:name="the-case-in-brief"/>
    <w:p>
      <w:pPr>
        <w:pStyle w:val="Heading2"/>
      </w:pPr>
      <w:r>
        <w:t xml:space="preserve">1. The case in brief</w:t>
      </w:r>
    </w:p>
    <w:p>
      <w:pPr>
        <w:pStyle w:val="FirstParagraph"/>
      </w:pPr>
      <w:r>
        <w:t xml:space="preserve">High Wycombe is</w:t>
      </w:r>
      <w:r>
        <w:t xml:space="preserve"> </w:t>
      </w:r>
      <w:r>
        <w:rPr>
          <w:b/>
          <w:bCs/>
        </w:rPr>
        <w:t xml:space="preserve">the only major town in Buckinghamshire without its own parish or town council.</w:t>
      </w:r>
      <w:r>
        <w:t xml:space="preserve"> </w:t>
      </w:r>
      <w:r>
        <w:t xml:space="preserve">Comparable settlements, and many smaller ones, have a directly-elected local tier. Wycombe does not.</w:t>
      </w:r>
    </w:p>
    <w:p>
      <w:pPr>
        <w:pStyle w:val="BodyText"/>
      </w:pPr>
      <w:r>
        <w:t xml:space="preserve">In its place sit two bodies, both made up of the</w:t>
      </w:r>
      <w:r>
        <w:t xml:space="preserve"> </w:t>
      </w:r>
      <w:r>
        <w:rPr>
          <w:b/>
          <w:bCs/>
        </w:rPr>
        <w:t xml:space="preserve">same Buckinghamshire unitary councillors whose wards clip the unparished area</w:t>
      </w:r>
      <w:r>
        <w:t xml:space="preserve">: the High Wycombe Town Committee, and the Charter Trustees who annually nominate the Mayor of High Wycombe. Neither was elected by the town to represent the town. A councillor sits on them because their unitary ward overlaps the boundary, not because Wycombe residents chose them for that job. Nobody is directly accountable to High Wycombe as High Wycombe. That is the democratic deficit at the heart of this prospectus.</w:t>
      </w:r>
    </w:p>
    <w:p>
      <w:pPr>
        <w:pStyle w:val="BodyText"/>
      </w:pPr>
      <w:r>
        <w:t xml:space="preserve">This is not a fringe demand. In Buckinghamshire’s own 2024 Community Governance Review consultation,</w:t>
      </w:r>
      <w:r>
        <w:t xml:space="preserve"> </w:t>
      </w:r>
      <w:r>
        <w:rPr>
          <w:b/>
          <w:bCs/>
        </w:rPr>
        <w:t xml:space="preserve">60% of 2,532 verified respondents backed a town council</w:t>
      </w:r>
      <w:r>
        <w:t xml:space="preserve"> </w:t>
      </w:r>
      <w:r>
        <w:t xml:space="preserve">(Q1: 60% town council, 35% keep current arrangements) [ground_truth.json]. The review was rejected by the then-Conservative-led council in September 2024, on the stated grounds that the 4.6% response rate was too low and that there was</w:t>
      </w:r>
      <w:r>
        <w:t xml:space="preserve"> </w:t>
      </w:r>
      <w:r>
        <w:t xml:space="preserve">“more community interest in achieving real outcomes than [in] introduction of a new level of local government”</w:t>
      </w:r>
      <w:r>
        <w:t xml:space="preserve"> </w:t>
      </w:r>
      <w:r>
        <w:t xml:space="preserve">- not that support was absent [ground_truth.json].</w:t>
      </w:r>
    </w:p>
    <w:p>
      <w:pPr>
        <w:pStyle w:val="BodyText"/>
      </w:pPr>
      <w:r>
        <w:t xml:space="preserve">One honest caveat belongs up front, because a councillor will raise it. On the separate willingness-to-pay question (Q3), verified respondents split</w:t>
      </w:r>
      <w:r>
        <w:t xml:space="preserve"> </w:t>
      </w:r>
      <w:r>
        <w:rPr>
          <w:b/>
          <w:bCs/>
        </w:rPr>
        <w:t xml:space="preserve">No 46% / Yes 43% / Don’t know 11%</w:t>
      </w:r>
      <w:r>
        <w:t xml:space="preserve"> </w:t>
      </w:r>
      <w:r>
        <w:t xml:space="preserve">[ground_truth.json]. Headline support for the principle was clear; appetite for the precept that funds it was not. Section 4 answers this directly rather than burying it.</w:t>
      </w:r>
    </w:p>
    <w:p>
      <w:pPr>
        <w:pStyle w:val="BodyText"/>
      </w:pPr>
      <w:r>
        <w:rPr>
          <w:b/>
          <w:bCs/>
        </w:rPr>
        <w:t xml:space="preserve">What has changed since 2024.</w:t>
      </w:r>
      <w:r>
        <w:t xml:space="preserve"> </w:t>
      </w:r>
      <w:r>
        <w:t xml:space="preserve">Buckinghamshire is now under</w:t>
      </w:r>
      <w:r>
        <w:t xml:space="preserve"> </w:t>
      </w:r>
      <w:r>
        <w:rPr>
          <w:b/>
          <w:bCs/>
        </w:rPr>
        <w:t xml:space="preserve">No Overall Control</w:t>
      </w:r>
      <w:r>
        <w:t xml:space="preserve"> </w:t>
      </w:r>
      <w:r>
        <w:t xml:space="preserve">(Conservative minority, since May 2025), so the 2024 rejection majority no longer holds. The town’s MP, Emma Reynolds, has publicly called the situation</w:t>
      </w:r>
      <w:r>
        <w:t xml:space="preserve"> </w:t>
      </w:r>
      <w:r>
        <w:t xml:space="preserve">“unfair”</w:t>
      </w:r>
      <w:r>
        <w:t xml:space="preserve">. And this document exists: a specific, costed plan that answers the</w:t>
      </w:r>
      <w:r>
        <w:t xml:space="preserve"> </w:t>
      </w:r>
      <w:r>
        <w:t xml:space="preserve">“no proper detail”</w:t>
      </w:r>
      <w:r>
        <w:t xml:space="preserve"> </w:t>
      </w:r>
      <w:r>
        <w:t xml:space="preserve">criticism.</w:t>
      </w:r>
    </w:p>
    <w:p>
      <w:pPr>
        <w:pStyle w:val="BodyText"/>
      </w:pPr>
      <w:r>
        <w:t xml:space="preserve">We are not asking councillors to decide whether Wycombe should have a town council. We are asking them to let the town decide, properly, through a fresh review, and we are setting out what a credible council would look like so that decision is informed.</w:t>
      </w:r>
    </w:p>
    <w:p>
      <w:r>
        <w:pict>
          <v:rect style="width:0;height:1.5pt" o:hralign="center" o:hrstd="t" o:hr="t"/>
        </w:pict>
      </w:r>
    </w:p>
    <w:bookmarkEnd w:id="9"/>
    <w:bookmarkStart w:id="10" w:name="X485bcb0f997cb3e9c36f3d222e86981141a5210"/>
    <w:p>
      <w:pPr>
        <w:pStyle w:val="Heading2"/>
      </w:pPr>
      <w:r>
        <w:t xml:space="preserve">2. What a town council would control and could deliver</w:t>
      </w:r>
    </w:p>
    <w:p>
      <w:pPr>
        <w:pStyle w:val="FirstParagraph"/>
      </w:pPr>
      <w:r>
        <w:t xml:space="preserve">A town council is a statutory local authority with real, if modest, powers. The realistic delivery menu, drawn from what comparable councils run:</w:t>
      </w:r>
    </w:p>
    <w:p>
      <w:pPr>
        <w:pStyle w:val="BodyText"/>
      </w:pPr>
      <w:r>
        <w:rPr>
          <w:b/>
          <w:bCs/>
        </w:rPr>
        <w:t xml:space="preserve">Town-centre and public realm.</w:t>
      </w:r>
      <w:r>
        <w:t xml:space="preserve"> </w:t>
      </w:r>
      <w:r>
        <w:t xml:space="preserve">Events, markets, Christmas lights, festivals, street furniture, cleansing top-ups, and town-centre management. Royal Sutton Coldfield Town Council, the closest structural analogue (a town inside a unitary, Birmingham), was created to take on this kind of devolved service, alongside parks, green spaces and community provision [Sutton Coldfield TC budget pages].</w:t>
      </w:r>
    </w:p>
    <w:p>
      <w:pPr>
        <w:pStyle w:val="BodyText"/>
      </w:pPr>
      <w:r>
        <w:rPr>
          <w:b/>
          <w:bCs/>
        </w:rPr>
        <w:t xml:space="preserve">Parks, open spaces and community buildings.</w:t>
      </w:r>
      <w:r>
        <w:t xml:space="preserve"> </w:t>
      </w:r>
      <w:r>
        <w:t xml:space="preserve">Through asset devolution from Buckinghamshire (see §4). Salisbury City Council took a negotiated package from Wiltshire including parks, CCTV and car-park facilities [Wiltshire CC asset transfer record].</w:t>
      </w:r>
    </w:p>
    <w:p>
      <w:pPr>
        <w:pStyle w:val="BodyText"/>
      </w:pPr>
      <w:r>
        <w:rPr>
          <w:b/>
          <w:bCs/>
        </w:rPr>
        <w:t xml:space="preserve">Grants and community support.</w:t>
      </w:r>
      <w:r>
        <w:t xml:space="preserve"> </w:t>
      </w:r>
      <w:r>
        <w:t xml:space="preserve">A modest grants pot for local groups, the single most common parish activity, and one a 550,000-population unitary cannot do at neighbourhood granularity.</w:t>
      </w:r>
    </w:p>
    <w:p>
      <w:pPr>
        <w:pStyle w:val="BodyText"/>
      </w:pPr>
      <w:r>
        <w:rPr>
          <w:b/>
          <w:bCs/>
        </w:rPr>
        <w:t xml:space="preserve">Planning voice.</w:t>
      </w:r>
      <w:r>
        <w:t xml:space="preserve"> </w:t>
      </w:r>
      <w:r>
        <w:t xml:space="preserve">A town council is a statutory consultee on planning applications and can produce a</w:t>
      </w:r>
      <w:r>
        <w:t xml:space="preserve"> </w:t>
      </w:r>
      <w:r>
        <w:rPr>
          <w:b/>
          <w:bCs/>
        </w:rPr>
        <w:t xml:space="preserve">Neighbourhood Plan</w:t>
      </w:r>
      <w:r>
        <w:t xml:space="preserve">, which once</w:t>
      </w:r>
      <w:r>
        <w:t xml:space="preserve"> </w:t>
      </w:r>
      <w:r>
        <w:t xml:space="preserve">“made”</w:t>
      </w:r>
      <w:r>
        <w:t xml:space="preserve"> </w:t>
      </w:r>
      <w:r>
        <w:t xml:space="preserve">becomes part of the statutory development plan and carries weight in decisions (the route Weymouth and others have taken). This is not available to an unparished area.</w:t>
      </w:r>
    </w:p>
    <w:p>
      <w:pPr>
        <w:pStyle w:val="BodyText"/>
      </w:pPr>
      <w:r>
        <w:rPr>
          <w:b/>
          <w:bCs/>
        </w:rPr>
        <w:t xml:space="preserve">Participatory budgeting.</w:t>
      </w:r>
      <w:r>
        <w:t xml:space="preserve"> </w:t>
      </w:r>
      <w:r>
        <w:t xml:space="preserve">Frome Town Council has run a</w:t>
      </w:r>
      <w:r>
        <w:t xml:space="preserve"> </w:t>
      </w:r>
      <w:r>
        <w:t xml:space="preserve">“People’s Budget”</w:t>
      </w:r>
      <w:r>
        <w:t xml:space="preserve"> </w:t>
      </w:r>
      <w:r>
        <w:t xml:space="preserve">for several years [Frome TC participatory-budgeting page], with residents directly allocating part of the spend. This answers the democratic-deficit framing and builds the legitimacy the 2024 review was said to lack.</w:t>
      </w:r>
    </w:p>
    <w:p>
      <w:pPr>
        <w:pStyle w:val="BodyText"/>
      </w:pPr>
      <w:r>
        <w:t xml:space="preserve">The honest scope: a town council does</w:t>
      </w:r>
      <w:r>
        <w:t xml:space="preserve"> </w:t>
      </w:r>
      <w:r>
        <w:rPr>
          <w:b/>
          <w:bCs/>
        </w:rPr>
        <w:t xml:space="preserve">not</w:t>
      </w:r>
      <w:r>
        <w:t xml:space="preserve"> </w:t>
      </w:r>
      <w:r>
        <w:t xml:space="preserve">take over roads, schools, social care, waste collection, or strategic planning. Those stay with Buckinghamshire. It is the neighbourhood tier, not a mini-unitary. We say this plainly because over-promising is how these bodies lose consent.</w:t>
      </w:r>
    </w:p>
    <w:p>
      <w:r>
        <w:pict>
          <v:rect style="width:0;height:1.5pt" o:hralign="center" o:hrstd="t" o:hr="t"/>
        </w:pict>
      </w:r>
    </w:p>
    <w:bookmarkEnd w:id="10"/>
    <w:bookmarkStart w:id="11" w:name="what-it-would-cost-residents---honestly"/>
    <w:p>
      <w:pPr>
        <w:pStyle w:val="Heading2"/>
      </w:pPr>
      <w:r>
        <w:t xml:space="preserve">3. What it would cost residents - honestly</w:t>
      </w:r>
    </w:p>
    <w:p>
      <w:pPr>
        <w:pStyle w:val="FirstParagraph"/>
      </w:pPr>
      <w:r>
        <w:t xml:space="preserve">A town council is funded by a</w:t>
      </w:r>
      <w:r>
        <w:t xml:space="preserve"> </w:t>
      </w:r>
      <w:r>
        <w:rPr>
          <w:b/>
          <w:bCs/>
        </w:rPr>
        <w:t xml:space="preserve">precept</w:t>
      </w:r>
      <w:r>
        <w:t xml:space="preserve">: a locally-set line on the council tax bill, collected by Buckinghamshire and passed across in full. It carries no government grant; the town funds itself.</w:t>
      </w:r>
    </w:p>
    <w:p>
      <w:pPr>
        <w:pStyle w:val="BodyText"/>
      </w:pPr>
      <w:r>
        <w:t xml:space="preserve">The decisive fact is that residents</w:t>
      </w:r>
      <w:r>
        <w:t xml:space="preserve"> </w:t>
      </w:r>
      <w:r>
        <w:rPr>
          <w:b/>
          <w:bCs/>
        </w:rPr>
        <w:t xml:space="preserve">already pay</w:t>
      </w:r>
      <w:r>
        <w:t xml:space="preserve"> </w:t>
      </w:r>
      <w:r>
        <w:t xml:space="preserve">for this area. In 2025/26 Buckinghamshire levies a Band D special-expenses charge of £17.99 plus a £2.43 Charter Trustees charge -</w:t>
      </w:r>
      <w:r>
        <w:t xml:space="preserve"> </w:t>
      </w:r>
      <w:r>
        <w:rPr>
          <w:b/>
          <w:bCs/>
        </w:rPr>
        <w:t xml:space="preserve">£20.42</w:t>
      </w:r>
      <w:r>
        <w:t xml:space="preserve"> </w:t>
      </w:r>
      <w:r>
        <w:t xml:space="preserve">in total, about £0.5m across the town - for cemeteries, recreation grounds, allotments, footway lighting, the war memorial, grants and events. A town council inherits those services and that funding.</w:t>
      </w:r>
    </w:p>
    <w:p>
      <w:pPr>
        <w:pStyle w:val="BodyText"/>
      </w:pPr>
      <w:r>
        <w:rPr>
          <w:b/>
          <w:bCs/>
        </w:rPr>
        <w:t xml:space="preserve">Indicative launch precept: £60–90 at Band D, funding a £1.46m–£2.20m council.</w:t>
      </w:r>
      <w:r>
        <w:t xml:space="preserve"> </w:t>
      </w:r>
      <w:r>
        <w:t xml:space="preserve">Because £20.42 is already charged, the</w:t>
      </w:r>
      <w:r>
        <w:t xml:space="preserve"> </w:t>
      </w:r>
      <w:r>
        <w:rPr>
          <w:i/>
          <w:iCs/>
        </w:rPr>
        <w:t xml:space="preserve">net new</w:t>
      </w:r>
      <w:r>
        <w:t xml:space="preserve"> </w:t>
      </w:r>
      <w:r>
        <w:t xml:space="preserve">cost to a Band D household is only about £40–70 a year (roughly £0.76–£1.34 per week). Most Wycombe homes are in Bands A–C and would pay less. For context against real comparators:</w:t>
      </w:r>
    </w:p>
    <w:tbl>
      <w:tblPr>
        <w:tblStyle w:val="Table"/>
        <w:tblW w:type="pct" w:w="5000"/>
        <w:tblLayout w:type="fixed"/>
        <w:tblLook w:firstRow="1" w:lastRow="0" w:firstColumn="0" w:lastColumn="0" w:noHBand="0" w:noVBand="0" w:val="0020"/>
      </w:tblPr>
      <w:tblGrid>
        <w:gridCol w:w="2376"/>
        <w:gridCol w:w="3168"/>
        <w:gridCol w:w="2376"/>
      </w:tblGrid>
      <w:tr>
        <w:trPr>
          <w:tblHeader w:val="on"/>
        </w:trPr>
        <w:tc>
          <w:tcPr/>
          <w:p>
            <w:pPr>
              <w:pStyle w:val="Compact"/>
            </w:pPr>
            <w:r>
              <w:t xml:space="preserve">Council</w:t>
            </w:r>
          </w:p>
        </w:tc>
        <w:tc>
          <w:tcPr/>
          <w:p>
            <w:pPr>
              <w:pStyle w:val="Compact"/>
              <w:jc w:val="right"/>
            </w:pPr>
            <w:r>
              <w:t xml:space="preserve">Band D precept</w:t>
            </w:r>
          </w:p>
        </w:tc>
        <w:tc>
          <w:tcPr/>
          <w:p>
            <w:pPr>
              <w:pStyle w:val="Compact"/>
            </w:pPr>
            <w:r>
              <w:t xml:space="preserve">Note</w:t>
            </w:r>
          </w:p>
        </w:tc>
      </w:tr>
      <w:tr>
        <w:tc>
          <w:tcPr/>
          <w:p>
            <w:pPr>
              <w:pStyle w:val="Compact"/>
            </w:pPr>
            <w:r>
              <w:t xml:space="preserve">Royal Sutton Coldfield</w:t>
            </w:r>
          </w:p>
        </w:tc>
        <w:tc>
          <w:tcPr/>
          <w:p>
            <w:pPr>
              <w:pStyle w:val="Compact"/>
              <w:jc w:val="right"/>
            </w:pPr>
            <w:r>
              <w:t xml:space="preserve">£49.96 (held flat 2016–24/25); £69.96 (2026/27)</w:t>
            </w:r>
          </w:p>
        </w:tc>
        <w:tc>
          <w:tcPr/>
          <w:p>
            <w:pPr>
              <w:pStyle w:val="Compact"/>
            </w:pPr>
            <w:r>
              <w:t xml:space="preserve">Town inside a unitary, closest analogue [Sutton Coldfield TC]</w:t>
            </w:r>
          </w:p>
        </w:tc>
      </w:tr>
      <w:tr>
        <w:tc>
          <w:tcPr/>
          <w:p>
            <w:pPr>
              <w:pStyle w:val="Compact"/>
            </w:pPr>
            <w:r>
              <w:t xml:space="preserve">Frome</w:t>
            </w:r>
          </w:p>
        </w:tc>
        <w:tc>
          <w:tcPr/>
          <w:p>
            <w:pPr>
              <w:pStyle w:val="Compact"/>
              <w:jc w:val="right"/>
            </w:pPr>
            <w:r>
              <w:t xml:space="preserve">£315.30 (2026/27)</w:t>
            </w:r>
          </w:p>
        </w:tc>
        <w:tc>
          <w:tcPr/>
          <w:p>
            <w:pPr>
              <w:pStyle w:val="Compact"/>
            </w:pPr>
            <w:r>
              <w:t xml:space="preserve">High-activity</w:t>
            </w:r>
            <w:r>
              <w:t xml:space="preserve"> </w:t>
            </w:r>
            <w:r>
              <w:t xml:space="preserve">“People’s Budget”</w:t>
            </w:r>
            <w:r>
              <w:t xml:space="preserve"> </w:t>
            </w:r>
            <w:r>
              <w:t xml:space="preserve">model [Frome TC budget PDF]</w:t>
            </w:r>
          </w:p>
        </w:tc>
      </w:tr>
      <w:tr>
        <w:tc>
          <w:tcPr/>
          <w:p>
            <w:pPr>
              <w:pStyle w:val="Compact"/>
            </w:pPr>
            <w:r>
              <w:t xml:space="preserve">Salisbury</w:t>
            </w:r>
          </w:p>
        </w:tc>
        <w:tc>
          <w:tcPr/>
          <w:p>
            <w:pPr>
              <w:pStyle w:val="Compact"/>
              <w:jc w:val="right"/>
            </w:pPr>
            <w:r>
              <w:t xml:space="preserve">£382.15 (2025/26)</w:t>
            </w:r>
          </w:p>
        </w:tc>
        <w:tc>
          <w:tcPr/>
          <w:p>
            <w:pPr>
              <w:pStyle w:val="Compact"/>
            </w:pPr>
            <w:r>
              <w:t xml:space="preserve">Large devolved service package [Salisbury CC finance]</w:t>
            </w:r>
          </w:p>
        </w:tc>
      </w:tr>
    </w:tbl>
    <w:p>
      <w:pPr>
        <w:pStyle w:val="BodyText"/>
      </w:pPr>
      <w:r>
        <w:t xml:space="preserve">The proposed range sits</w:t>
      </w:r>
      <w:r>
        <w:t xml:space="preserve"> </w:t>
      </w:r>
      <w:r>
        <w:rPr>
          <w:b/>
          <w:bCs/>
        </w:rPr>
        <w:t xml:space="preserve">at or below the cheapest mature comparator (Sutton Coldfield, ~£50)</w:t>
      </w:r>
      <w:r>
        <w:t xml:space="preserve"> </w:t>
      </w:r>
      <w:r>
        <w:t xml:space="preserve">and roughly one-quarter of Frome or Salisbury. This is a deliberately modest launch.</w:t>
      </w:r>
    </w:p>
    <w:p>
      <w:pPr>
        <w:pStyle w:val="BodyText"/>
      </w:pPr>
      <w:r>
        <w:rPr>
          <w:b/>
          <w:bCs/>
        </w:rPr>
        <w:t xml:space="preserve">The day-one commitment we ask the steering group to publish and be bound by: a capped launch precept</w:t>
      </w:r>
      <w:r>
        <w:t xml:space="preserve"> </w:t>
      </w:r>
      <w:r>
        <w:t xml:space="preserve">in the £60–90 Band D range, with any future increase subject to the council’s own published policy and the participatory-budget process. Precept ratcheting elsewhere is a real risk; pre-committing to restraint is the cheapest trust available.</w:t>
      </w:r>
      <w:r>
        <w:t xml:space="preserve"> </w:t>
      </w:r>
      <w:r>
        <w:rPr>
          <w:i/>
          <w:iCs/>
        </w:rPr>
        <w:t xml:space="preserve">(Town councils are not currently subject to the council-tax referendum cap that applies to principal authorities, which is precisely why a self-imposed cap matters.)</w:t>
      </w:r>
    </w:p>
    <w:p>
      <w:r>
        <w:pict>
          <v:rect style="width:0;height:1.5pt" o:hralign="center" o:hrstd="t" o:hr="t"/>
        </w:pict>
      </w:r>
    </w:p>
    <w:bookmarkEnd w:id="11"/>
    <w:bookmarkStart w:id="12" w:name="the-double-taxation-objection-answered"/>
    <w:p>
      <w:pPr>
        <w:pStyle w:val="Heading2"/>
      </w:pPr>
      <w:r>
        <w:t xml:space="preserve">4. The</w:t>
      </w:r>
      <w:r>
        <w:t xml:space="preserve"> </w:t>
      </w:r>
      <w:r>
        <w:t xml:space="preserve">“double taxation”</w:t>
      </w:r>
      <w:r>
        <w:t xml:space="preserve"> </w:t>
      </w:r>
      <w:r>
        <w:t xml:space="preserve">objection answered</w:t>
      </w:r>
    </w:p>
    <w:p>
      <w:pPr>
        <w:pStyle w:val="FirstParagraph"/>
      </w:pPr>
      <w:r>
        <w:t xml:space="preserve">This is the strongest objection, and the consultation data sharpens it: when asked directly, more verified respondents said they would not pay a precept than would (No 46% / Yes 43%) [ground_truth.json]. It deserves a direct answer, not a deflection.</w:t>
      </w:r>
    </w:p>
    <w:p>
      <w:pPr>
        <w:pStyle w:val="BodyText"/>
      </w:pPr>
      <w:r>
        <w:rPr>
          <w:b/>
          <w:bCs/>
        </w:rPr>
        <w:t xml:space="preserve">First, the willingness-to-pay split is not a wall of opposition; it tracks the choice itself.</w:t>
      </w:r>
      <w:r>
        <w:t xml:space="preserve"> </w:t>
      </w:r>
      <w:r>
        <w:t xml:space="preserve">The consultation’s internal cross-tab shows that</w:t>
      </w:r>
      <w:r>
        <w:t xml:space="preserve"> </w:t>
      </w:r>
      <w:r>
        <w:rPr>
          <w:b/>
          <w:bCs/>
        </w:rPr>
        <w:t xml:space="preserve">town-council supporters were willing to pay by 69% to 16%</w:t>
      </w:r>
      <w:r>
        <w:t xml:space="preserve">, while keep-current supporters refused by 95% to 2% [ground_truth.json]. In other words, the</w:t>
      </w:r>
      <w:r>
        <w:t xml:space="preserve"> </w:t>
      </w:r>
      <w:r>
        <w:t xml:space="preserve">“No”</w:t>
      </w:r>
      <w:r>
        <w:t xml:space="preserve"> </w:t>
      </w:r>
      <w:r>
        <w:t xml:space="preserve">on price is overwhelmingly the same people voting</w:t>
      </w:r>
      <w:r>
        <w:t xml:space="preserve"> </w:t>
      </w:r>
      <w:r>
        <w:t xml:space="preserve">“keep things as they are”</w:t>
      </w:r>
      <w:r>
        <w:t xml:space="preserve">, not town-council supporters recoiling at the bill. Win the argument on the principle and the precept follows; the two questions are not independent.</w:t>
      </w:r>
    </w:p>
    <w:p>
      <w:pPr>
        <w:pStyle w:val="BodyText"/>
      </w:pPr>
      <w:r>
        <w:rPr>
          <w:b/>
          <w:bCs/>
        </w:rPr>
        <w:t xml:space="preserve">Second, residents already pay for the current arrangement - and we can now put a number on it.</w:t>
      </w:r>
      <w:r>
        <w:t xml:space="preserve"> </w:t>
      </w:r>
      <w:r>
        <w:t xml:space="preserve">In 2025/26 Buckinghamshire levies a Band D special-expenses charge of £17.99 plus a £2.43 Charter Trustees charge on this exact area - £20.42 a year, about £0.5m on a tax base of 24,397.68 Band D equivalents - for cemeteries, recreation grounds, allotments, footway lighting, the war memorial, grants and events [Council Tax Resolution 2025/26]. A town council inherits those services and that funding, so the real change to the bill is the precept minus £20.42, not the whole precept. A precept converts an existing charge into accountable, locally-set spend under a directly-elected body.</w:t>
      </w:r>
    </w:p>
    <w:p>
      <w:pPr>
        <w:pStyle w:val="BodyText"/>
      </w:pPr>
      <w:r>
        <w:rPr>
          <w:b/>
          <w:bCs/>
        </w:rPr>
        <w:t xml:space="preserve">Third, and the central ask to councillors: asset and service devolution.</w:t>
      </w:r>
      <w:r>
        <w:t xml:space="preserve"> </w:t>
      </w:r>
      <w:r>
        <w:t xml:space="preserve">The decisive lesson from every comparator is that a town council’s value depends on whether assets and services transfer with it.</w:t>
      </w:r>
    </w:p>
    <w:p>
      <w:pPr>
        <w:numPr>
          <w:ilvl w:val="0"/>
          <w:numId w:val="1001"/>
        </w:numPr>
      </w:pPr>
      <w:r>
        <w:rPr>
          <w:b/>
          <w:bCs/>
        </w:rPr>
        <w:t xml:space="preserve">The cautionary tale, Sutton Coldfield.</w:t>
      </w:r>
      <w:r>
        <w:t xml:space="preserve"> </w:t>
      </w:r>
      <w:r>
        <w:t xml:space="preserve">Created on a strong ballot, it nonetheless</w:t>
      </w:r>
      <w:r>
        <w:t xml:space="preserve"> </w:t>
      </w:r>
      <w:r>
        <w:rPr>
          <w:b/>
          <w:bCs/>
        </w:rPr>
        <w:t xml:space="preserve">underspent its budget for several years</w:t>
      </w:r>
      <w:r>
        <w:t xml:space="preserve">, spending only around</w:t>
      </w:r>
      <w:r>
        <w:t xml:space="preserve"> </w:t>
      </w:r>
      <w:r>
        <w:rPr>
          <w:b/>
          <w:bCs/>
        </w:rPr>
        <w:t xml:space="preserve">£1.2m of a ~£1.9m budget in 2018/19</w:t>
      </w:r>
      <w:r>
        <w:t xml:space="preserve"> </w:t>
      </w:r>
      <w:r>
        <w:t xml:space="preserve">[Birmingham Eastside reporting; verify exact figures]. The lesson is not</w:t>
      </w:r>
      <w:r>
        <w:t xml:space="preserve"> </w:t>
      </w:r>
      <w:r>
        <w:t xml:space="preserve">“don’t create one”</w:t>
      </w:r>
      <w:r>
        <w:t xml:space="preserve">; it is that capacity to deliver lags the precept, and a council without transferred assets stalls. Budget realistically and sequence the asset transfer.</w:t>
      </w:r>
    </w:p>
    <w:p>
      <w:pPr>
        <w:numPr>
          <w:ilvl w:val="0"/>
          <w:numId w:val="1001"/>
        </w:numPr>
      </w:pPr>
      <w:r>
        <w:rPr>
          <w:b/>
          <w:bCs/>
        </w:rPr>
        <w:t xml:space="preserve">The model to demand, Wiltshire / Salisbury.</w:t>
      </w:r>
      <w:r>
        <w:t xml:space="preserve"> </w:t>
      </w:r>
      <w:r>
        <w:t xml:space="preserve">Wiltshire transferred a negotiated package (parks, CCTV, car-park facilities) to Salisbury,</w:t>
      </w:r>
      <w:r>
        <w:t xml:space="preserve"> </w:t>
      </w:r>
      <w:r>
        <w:rPr>
          <w:b/>
          <w:bCs/>
        </w:rPr>
        <w:t xml:space="preserve">structured to be broadly cost-neutral to both parties</w:t>
      </w:r>
      <w:r>
        <w:t xml:space="preserve">, using agency agreements where land tenure blocked a full transfer [Wiltshire CC record]. Wiltshire explicitly warned that its CCTV-funding arrangement</w:t>
      </w:r>
      <w:r>
        <w:t xml:space="preserve"> </w:t>
      </w:r>
      <w:r>
        <w:t xml:space="preserve">“may not be replicated”</w:t>
      </w:r>
      <w:r>
        <w:t xml:space="preserve">, so this is a bespoke negotiation, not a template, and</w:t>
      </w:r>
      <w:r>
        <w:t xml:space="preserve"> </w:t>
      </w:r>
      <w:r>
        <w:rPr>
          <w:b/>
          <w:bCs/>
        </w:rPr>
        <w:t xml:space="preserve">we do not assume a net financial gift.</w:t>
      </w:r>
    </w:p>
    <w:p>
      <w:pPr>
        <w:pStyle w:val="FirstParagraph"/>
      </w:pPr>
      <w:r>
        <w:t xml:space="preserve">The honest framing: where Buckinghamshire devolves a service it currently funds, the precept buys that service back locally, and the test is whether the unitary makes a commensurate reduction in its own spend. Where no asset transfers, the precept funds genuinely additional local activity. Either way the requirement is transparency: the asset and charge package should be settled in writing as part of the review terms, not left vague.</w:t>
      </w:r>
    </w:p>
    <w:p>
      <w:r>
        <w:pict>
          <v:rect style="width:0;height:1.5pt" o:hralign="center" o:hrstd="t" o:hr="t"/>
        </w:pict>
      </w:r>
    </w:p>
    <w:bookmarkEnd w:id="12"/>
    <w:bookmarkStart w:id="13" w:name="proposed-structure"/>
    <w:p>
      <w:pPr>
        <w:pStyle w:val="Heading2"/>
      </w:pPr>
      <w:r>
        <w:t xml:space="preserve">5. Proposed structure</w:t>
      </w:r>
    </w:p>
    <w:p>
      <w:pPr>
        <w:pStyle w:val="FirstParagraph"/>
      </w:pPr>
      <w:r>
        <w:t xml:space="preserve">A concrete proposal is more persuasive than</w:t>
      </w:r>
      <w:r>
        <w:t xml:space="preserve"> </w:t>
      </w:r>
      <w:r>
        <w:t xml:space="preserve">“a town council”</w:t>
      </w:r>
      <w:r>
        <w:t xml:space="preserve"> </w:t>
      </w:r>
      <w:r>
        <w:t xml:space="preserve">in the abstract. This is a recommended starting position; the final electoral arrangements are Buckinghamshire’s to set through the review (LGPIH Act 2007).</w:t>
      </w:r>
    </w:p>
    <w:p>
      <w:pPr>
        <w:numPr>
          <w:ilvl w:val="0"/>
          <w:numId w:val="1002"/>
        </w:numPr>
      </w:pPr>
      <w:r>
        <w:rPr>
          <w:b/>
          <w:bCs/>
        </w:rPr>
        <w:t xml:space="preserve">Area: the 7-ward unparished core (~54k electors, 236 OAs)</w:t>
      </w:r>
      <w:r>
        <w:t xml:space="preserve"> </w:t>
      </w:r>
      <w:r>
        <w:t xml:space="preserve">- Abbey; Booker, Cressex and Castlefield; Downley; Ryemead and Micklefield; Terriers and Amersham Hill; Totteridge and Bowerdean; West Wycombe [wards.json].</w:t>
      </w:r>
      <w:r>
        <w:t xml:space="preserve"> </w:t>
      </w:r>
      <w:r>
        <w:rPr>
          <w:b/>
          <w:bCs/>
        </w:rPr>
        <w:t xml:space="preserve">Explicitly excluding</w:t>
      </w:r>
      <w:r>
        <w:t xml:space="preserve"> </w:t>
      </w:r>
      <w:r>
        <w:t xml:space="preserve">the already-parished Chiltern Villages and Tylers Green and Loudwater (Chepping Wycombe Parish). The consultation’s own electorate for the area was 55,125 [ground_truth.json]. Defining the core tightly pre-empts the move of conflating the town with the wider constituency.</w:t>
      </w:r>
    </w:p>
    <w:p>
      <w:pPr>
        <w:numPr>
          <w:ilvl w:val="0"/>
          <w:numId w:val="1002"/>
        </w:numPr>
      </w:pPr>
      <w:r>
        <w:rPr>
          <w:b/>
          <w:bCs/>
        </w:rPr>
        <w:t xml:space="preserve">Councillors: ~18–21</w:t>
      </w:r>
      <w:r>
        <w:t xml:space="preserve">, mapped to town wards aligned with the existing unitary wards (roughly 2–3 per ward, scaled to electorate). This sits within Buckinghamshire’s own 2024 booklet range of 13–25, toward the upper-middle for representativeness.</w:t>
      </w:r>
    </w:p>
    <w:p>
      <w:pPr>
        <w:numPr>
          <w:ilvl w:val="0"/>
          <w:numId w:val="1002"/>
        </w:numPr>
      </w:pPr>
      <w:r>
        <w:rPr>
          <w:b/>
          <w:bCs/>
        </w:rPr>
        <w:t xml:space="preserve">Elections: four-yearly, co-timed with Buckinghamshire’s</w:t>
      </w:r>
      <w:r>
        <w:t xml:space="preserve"> </w:t>
      </w:r>
      <w:r>
        <w:t xml:space="preserve">to maximise turnout and minimise cost.</w:t>
      </w:r>
    </w:p>
    <w:p>
      <w:pPr>
        <w:numPr>
          <w:ilvl w:val="0"/>
          <w:numId w:val="1002"/>
        </w:numPr>
      </w:pPr>
      <w:r>
        <w:rPr>
          <w:b/>
          <w:bCs/>
        </w:rPr>
        <w:t xml:space="preserve">Town Mayor:</w:t>
      </w:r>
      <w:r>
        <w:t xml:space="preserve"> </w:t>
      </w:r>
      <w:r>
        <w:t xml:space="preserve">the new council appoints its own Town Mayor, inheriting the civic regalia from the dissolved Charter Trustees. The ceremonial office is preserved; it simply becomes accountable to an elected body.</w:t>
      </w:r>
    </w:p>
    <w:p>
      <w:pPr>
        <w:numPr>
          <w:ilvl w:val="0"/>
          <w:numId w:val="1002"/>
        </w:numPr>
      </w:pPr>
      <w:r>
        <w:rPr>
          <w:b/>
          <w:bCs/>
        </w:rPr>
        <w:t xml:space="preserve">Who can stand</w:t>
      </w:r>
      <w:r>
        <w:t xml:space="preserve"> </w:t>
      </w:r>
      <w:r>
        <w:t xml:space="preserve">(LGA 1972 s.79): any one of four routes - registered elector for the area; owning or renting premises there; principal workplace there; or living within 3 miles of the boundary. The work or business route lets town-centre traders stand even if they live further out.</w:t>
      </w:r>
    </w:p>
    <w:p>
      <w:pPr>
        <w:numPr>
          <w:ilvl w:val="0"/>
          <w:numId w:val="1002"/>
        </w:numPr>
      </w:pPr>
      <w:r>
        <w:rPr>
          <w:b/>
          <w:bCs/>
        </w:rPr>
        <w:t xml:space="preserve">Day-one governance guarantees</w:t>
      </w:r>
      <w:r>
        <w:t xml:space="preserve">, published before the review and binding on the founding council: a capped launch precept; a cross-party member conduct code; and participatory budgeting from year one.</w:t>
      </w:r>
    </w:p>
    <w:p>
      <w:pPr>
        <w:pStyle w:val="FirstParagraph"/>
      </w:pPr>
      <w:r>
        <w:t xml:space="preserve">The current committee councillors are free to stand, if the town elects them. No one is removed; the town simply gets to choose.</w:t>
      </w:r>
    </w:p>
    <w:p>
      <w:r>
        <w:pict>
          <v:rect style="width:0;height:1.5pt" o:hralign="center" o:hrstd="t" o:hr="t"/>
        </w:pict>
      </w:r>
    </w:p>
    <w:bookmarkEnd w:id="13"/>
    <w:bookmarkStart w:id="14" w:name="how-it-would-be-governed-well"/>
    <w:p>
      <w:pPr>
        <w:pStyle w:val="Heading2"/>
      </w:pPr>
      <w:r>
        <w:t xml:space="preserve">6. How it would be governed well</w:t>
      </w:r>
    </w:p>
    <w:p>
      <w:pPr>
        <w:pStyle w:val="FirstParagraph"/>
      </w:pPr>
      <w:r>
        <w:t xml:space="preserve">The difference between a town council residents value and one they resent is governance discipline, set from day one.</w:t>
      </w:r>
    </w:p>
    <w:p>
      <w:pPr>
        <w:pStyle w:val="BodyText"/>
      </w:pPr>
      <w:r>
        <w:rPr>
          <w:b/>
          <w:bCs/>
        </w:rPr>
        <w:t xml:space="preserve">The success archetype, Frome.</w:t>
      </w:r>
      <w:r>
        <w:t xml:space="preserve"> </w:t>
      </w:r>
      <w:r>
        <w:t xml:space="preserve">A disciplined, non-partisan model (Independents for Frome) built durable engagement, anchored by participatory budgeting and a transparent work programme [Frome TC]. The transferable lessons: cross-party or non-partisan from the start, so no single party owns the council or the campaign to create it; participatory budgeting, to make spend visibly resident-led; and a published work programme, so the precept is traceable to outputs.</w:t>
      </w:r>
    </w:p>
    <w:p>
      <w:pPr>
        <w:pStyle w:val="BodyText"/>
      </w:pPr>
      <w:r>
        <w:rPr>
          <w:b/>
          <w:bCs/>
        </w:rPr>
        <w:t xml:space="preserve">The failure modes to design against:</w:t>
      </w:r>
      <w:r>
        <w:t xml:space="preserve"> </w:t>
      </w:r>
      <w:r>
        <w:t xml:space="preserve">-</w:t>
      </w:r>
      <w:r>
        <w:t xml:space="preserve"> </w:t>
      </w:r>
      <w:r>
        <w:rPr>
          <w:b/>
          <w:bCs/>
        </w:rPr>
        <w:t xml:space="preserve">Underspend and delivery lag</w:t>
      </w:r>
      <w:r>
        <w:t xml:space="preserve"> </w:t>
      </w:r>
      <w:r>
        <w:t xml:space="preserve">(Sutton Coldfield), mitigated by realistic first-year budgeting and a phased asset transfer rather than a big-bang one.</w:t>
      </w:r>
      <w:r>
        <w:t xml:space="preserve"> </w:t>
      </w:r>
      <w:r>
        <w:t xml:space="preserve">-</w:t>
      </w:r>
      <w:r>
        <w:t xml:space="preserve"> </w:t>
      </w:r>
      <w:r>
        <w:rPr>
          <w:b/>
          <w:bCs/>
        </w:rPr>
        <w:t xml:space="preserve">Precept ratcheting and weak audit</w:t>
      </w:r>
      <w:r>
        <w:t xml:space="preserve">, mitigated by the capped-launch commitment and a published precept policy.</w:t>
      </w:r>
      <w:r>
        <w:t xml:space="preserve"> </w:t>
      </w:r>
      <w:r>
        <w:t xml:space="preserve">-</w:t>
      </w:r>
      <w:r>
        <w:t xml:space="preserve"> </w:t>
      </w:r>
      <w:r>
        <w:rPr>
          <w:b/>
          <w:bCs/>
        </w:rPr>
        <w:t xml:space="preserve">Loss of local consent.</w:t>
      </w:r>
      <w:r>
        <w:t xml:space="preserve"> </w:t>
      </w:r>
      <w:r>
        <w:t xml:space="preserve">Lickey End (Bromsgrove), a parish created in 2001 and</w:t>
      </w:r>
      <w:r>
        <w:t xml:space="preserve"> </w:t>
      </w:r>
      <w:r>
        <w:rPr>
          <w:b/>
          <w:bCs/>
        </w:rPr>
        <w:t xml:space="preserve">abolished after a 2010 local campaign</w:t>
      </w:r>
      <w:r>
        <w:t xml:space="preserve"> </w:t>
      </w:r>
      <w:r>
        <w:t xml:space="preserve">(the abolition order took effect 1 April 2011), shows that small councils which lose consent can be unwound. The defence is sustained legitimacy: participatory budgeting, a low launch precept, and a broad-based founding council.</w:t>
      </w:r>
    </w:p>
    <w:p>
      <w:pPr>
        <w:pStyle w:val="BodyText"/>
      </w:pPr>
      <w:r>
        <w:rPr>
          <w:b/>
          <w:bCs/>
        </w:rPr>
        <w:t xml:space="preserve">Cross-party from day one is a governance requirement, not a tactic.</w:t>
      </w:r>
      <w:r>
        <w:t xml:space="preserve"> </w:t>
      </w:r>
      <w:r>
        <w:t xml:space="preserve">Support runs across the town’s geography: highest in Booker, Cressex and Castlefield at</w:t>
      </w:r>
      <w:r>
        <w:t xml:space="preserve"> </w:t>
      </w:r>
      <w:r>
        <w:rPr>
          <w:b/>
          <w:bCs/>
        </w:rPr>
        <w:t xml:space="preserve">75%</w:t>
      </w:r>
      <w:r>
        <w:t xml:space="preserve"> </w:t>
      </w:r>
      <w:r>
        <w:t xml:space="preserve">and lowest in Terriers and Amersham Hill at</w:t>
      </w:r>
      <w:r>
        <w:t xml:space="preserve"> </w:t>
      </w:r>
      <w:r>
        <w:rPr>
          <w:b/>
          <w:bCs/>
        </w:rPr>
        <w:t xml:space="preserve">51%</w:t>
      </w:r>
      <w:r>
        <w:t xml:space="preserve"> </w:t>
      </w:r>
      <w:r>
        <w:t xml:space="preserve">[ground_truth.json]. A council that belonged to one party would forfeit the consent of the wards it most needs.</w:t>
      </w:r>
    </w:p>
    <w:p>
      <w:r>
        <w:pict>
          <v:rect style="width:0;height:1.5pt" o:hralign="center" o:hrstd="t" o:hr="t"/>
        </w:pict>
      </w:r>
    </w:p>
    <w:bookmarkEnd w:id="14"/>
    <w:bookmarkStart w:id="15" w:name="mechanisms-we-would-use"/>
    <w:p>
      <w:pPr>
        <w:pStyle w:val="Heading2"/>
      </w:pPr>
      <w:r>
        <w:t xml:space="preserve">7. Mechanisms we would use</w:t>
      </w:r>
    </w:p>
    <w:p>
      <w:pPr>
        <w:pStyle w:val="FirstParagraph"/>
      </w:pPr>
      <w:r>
        <w:t xml:space="preserve">Only the levers a Wycombe town council could actually pull.</w:t>
      </w:r>
    </w:p>
    <w:p>
      <w:pPr>
        <w:pStyle w:val="BodyText"/>
      </w:pPr>
      <w:r>
        <w:rPr>
          <w:b/>
          <w:bCs/>
        </w:rPr>
        <w:t xml:space="preserve">CIL neighbourhood portion: 15% → 25%, with the cap removed, our most distinctive revenue lever.</w:t>
      </w:r>
      <w:r>
        <w:t xml:space="preserve"> </w:t>
      </w:r>
      <w:r>
        <w:t xml:space="preserve">The default neighbourhood portion of the Community Infrastructure Levy is</w:t>
      </w:r>
      <w:r>
        <w:t xml:space="preserve"> </w:t>
      </w:r>
      <w:r>
        <w:rPr>
          <w:b/>
          <w:bCs/>
        </w:rPr>
        <w:t xml:space="preserve">15%, capped at £100 per existing dwelling</w:t>
      </w:r>
      <w:r>
        <w:t xml:space="preserve">. With a</w:t>
      </w:r>
      <w:r>
        <w:t xml:space="preserve"> </w:t>
      </w:r>
      <w:r>
        <w:rPr>
          <w:b/>
          <w:bCs/>
        </w:rPr>
        <w:t xml:space="preserve">“made”</w:t>
      </w:r>
      <w:r>
        <w:rPr>
          <w:b/>
          <w:bCs/>
        </w:rPr>
        <w:t xml:space="preserve"> </w:t>
      </w:r>
      <w:r>
        <w:rPr>
          <w:b/>
          <w:bCs/>
        </w:rPr>
        <w:t xml:space="preserve">Neighbourhood Plan, that rises to 25% and the cap is lifted</w:t>
      </w:r>
      <w:r>
        <w:t xml:space="preserve"> </w:t>
      </w:r>
      <w:r>
        <w:t xml:space="preserve">[Buckinghamshire CIL pages; portion-mechanics explainer].</w:t>
      </w:r>
      <w:r>
        <w:t xml:space="preserve"> </w:t>
      </w:r>
      <w:r>
        <w:rPr>
          <w:b/>
          <w:bCs/>
        </w:rPr>
        <w:t xml:space="preserve">High Wycombe has had an active CIL charging schedule since 2012</w:t>
      </w:r>
      <w:r>
        <w:t xml:space="preserve"> </w:t>
      </w:r>
      <w:r>
        <w:t xml:space="preserve">(the former Wycombe District schedule, in effect since November 2012) [Buckinghamshire CIL pages]. Absent a parish, that neighbourhood portion is currently retained by Buckinghamshire. A Wycombe town council adopting a Neighbourhood Plan would capture the 25% neighbourhood portion, uncapped, of Wycombe-area CIL: recurring local infrastructure money that exists today and is not reaching the town because the town has no council to receive it. The amount depends on actual development coming forward, so we make no fixed-pound forecast.</w:t>
      </w:r>
    </w:p>
    <w:p>
      <w:pPr>
        <w:pStyle w:val="BodyText"/>
      </w:pPr>
      <w:r>
        <w:rPr>
          <w:b/>
          <w:bCs/>
        </w:rPr>
        <w:t xml:space="preserve">Double-devolution / asset transfer (Wiltshire model)</w:t>
      </w:r>
      <w:r>
        <w:t xml:space="preserve">, available but negotiated and aimed at cost-neutrality (see §4). Buckinghamshire’s NOC status may make it more receptive; we do not assume a net gift.</w:t>
      </w:r>
    </w:p>
    <w:p>
      <w:pPr>
        <w:pStyle w:val="BodyText"/>
      </w:pPr>
      <w:r>
        <w:rPr>
          <w:b/>
          <w:bCs/>
        </w:rPr>
        <w:t xml:space="preserve">Neighbourhood Plan statutory weight.</w:t>
      </w:r>
      <w:r>
        <w:t xml:space="preserve"> </w:t>
      </w:r>
      <w:r>
        <w:t xml:space="preserve">A made plan becomes part of the development plan and carries decision weight in planning. This couples directly to the CIL uplift above.</w:t>
      </w:r>
    </w:p>
    <w:p>
      <w:pPr>
        <w:pStyle w:val="BodyText"/>
      </w:pPr>
      <w:r>
        <w:rPr>
          <w:b/>
          <w:bCs/>
        </w:rPr>
        <w:t xml:space="preserve">BID partnership.</w:t>
      </w:r>
      <w:r>
        <w:t xml:space="preserve"> </w:t>
      </w:r>
      <w:r>
        <w:t xml:space="preserve">HWBIDCo is on its third five-year term (2022–2027), renewed in July 2022 [verify ballot figures], with a renewal ballot due around 2027. A town council cannot levy or absorb a statutory BID; businesses fund that. But it can precept across all residents and match-fund town-centre management and events, giving the town centre a stable, democratically-accountable funding partner alongside the business-funded BID.</w:t>
      </w:r>
    </w:p>
    <w:p>
      <w:pPr>
        <w:pStyle w:val="BodyText"/>
      </w:pPr>
      <w:r>
        <w:rPr>
          <w:b/>
          <w:bCs/>
        </w:rPr>
        <w:t xml:space="preserve">Community Right to Bid / Assets of Community Value</w:t>
      </w:r>
      <w:r>
        <w:t xml:space="preserve"> </w:t>
      </w:r>
      <w:r>
        <w:t xml:space="preserve">(Localism Act 2011), which lets the council list community assets and secure first-refusal windows. Modest but real.</w:t>
      </w:r>
    </w:p>
    <w:p>
      <w:pPr>
        <w:pStyle w:val="BodyText"/>
      </w:pPr>
      <w:r>
        <w:rPr>
          <w:b/>
          <w:bCs/>
        </w:rPr>
        <w:t xml:space="preserve">Participatory budgeting</w:t>
      </w:r>
      <w:r>
        <w:t xml:space="preserve">, which needs no statute (Frome). The clearest answer to the democratic-deficit framing.</w:t>
      </w:r>
    </w:p>
    <w:p>
      <w:pPr>
        <w:pStyle w:val="BodyText"/>
      </w:pPr>
      <w:r>
        <w:rPr>
          <w:b/>
          <w:bCs/>
        </w:rPr>
        <w:t xml:space="preserve">General Power of Competence</w:t>
      </w:r>
      <w:r>
        <w:t xml:space="preserve">, available on conditions (the 2012 Prescribed Conditions Order): at least two-thirds of members must be elected (a new council’s first all-out election satisfies this) and the clerk must hold CiLCA. The binding constraint is hiring a qualified clerk, a recruitment task rather than a barrier.</w:t>
      </w:r>
    </w:p>
    <w:p>
      <w:pPr>
        <w:pStyle w:val="BodyText"/>
      </w:pPr>
      <w:r>
        <w:t xml:space="preserve">A note on</w:t>
      </w:r>
      <w:r>
        <w:t xml:space="preserve"> </w:t>
      </w:r>
      <w:r>
        <w:rPr>
          <w:b/>
          <w:bCs/>
        </w:rPr>
        <w:t xml:space="preserve">borrowing</w:t>
      </w:r>
      <w:r>
        <w:t xml:space="preserve">: PWLB capital borrowing is available to town councils for income-generating operational assets (for example a community hub), subject to government approval, but</w:t>
      </w:r>
      <w:r>
        <w:t xml:space="preserve"> </w:t>
      </w:r>
      <w:r>
        <w:rPr>
          <w:b/>
          <w:bCs/>
        </w:rPr>
        <w:t xml:space="preserve">not</w:t>
      </w:r>
      <w:r>
        <w:t xml:space="preserve"> </w:t>
      </w:r>
      <w:r>
        <w:t xml:space="preserve">for speculative debt-for-yield property purchases. We flag this so no one over-claims the borrowing headroom.</w:t>
      </w:r>
    </w:p>
    <w:p>
      <w:r>
        <w:pict>
          <v:rect style="width:0;height:1.5pt" o:hralign="center" o:hrstd="t" o:hr="t"/>
        </w:pict>
      </w:r>
    </w:p>
    <w:bookmarkEnd w:id="15"/>
    <w:bookmarkStart w:id="16" w:name="the-route-to-creation"/>
    <w:p>
      <w:pPr>
        <w:pStyle w:val="Heading2"/>
      </w:pPr>
      <w:r>
        <w:t xml:space="preserve">8. The route to creation</w:t>
      </w:r>
    </w:p>
    <w:p>
      <w:pPr>
        <w:pStyle w:val="FirstParagraph"/>
      </w:pPr>
      <w:r>
        <w:t xml:space="preserve">The mechanism is a</w:t>
      </w:r>
      <w:r>
        <w:t xml:space="preserve"> </w:t>
      </w:r>
      <w:r>
        <w:rPr>
          <w:b/>
          <w:bCs/>
        </w:rPr>
        <w:t xml:space="preserve">Community Governance Review (CGR)</w:t>
      </w:r>
      <w:r>
        <w:t xml:space="preserve">, which only Buckinghamshire can conduct. There are two ways to trigger one.</w:t>
      </w:r>
    </w:p>
    <w:p>
      <w:pPr>
        <w:pStyle w:val="BodyText"/>
      </w:pPr>
      <w:r>
        <w:rPr>
          <w:b/>
          <w:bCs/>
        </w:rPr>
        <w:t xml:space="preserve">Route A - Buckinghamshire initiates a fresh review.</w:t>
      </w:r>
      <w:r>
        <w:t xml:space="preserve"> </w:t>
      </w:r>
      <w:r>
        <w:t xml:space="preserve">The most direct path. The 2024 review was rejected, but on grounds (low response rate) that a properly-resourced fresh consultation can address, and by a council majority that no longer exists under No Overall Control. A cross-party motion to re-open the review is now politically live in a way it was not in 2024, with the town’s MP supportive.</w:t>
      </w:r>
    </w:p>
    <w:p>
      <w:pPr>
        <w:pStyle w:val="BodyText"/>
      </w:pPr>
      <w:r>
        <w:rPr>
          <w:b/>
          <w:bCs/>
        </w:rPr>
        <w:t xml:space="preserve">Route B - residents compel a review by petition.</w:t>
      </w:r>
      <w:r>
        <w:t xml:space="preserve"> </w:t>
      </w:r>
      <w:r>
        <w:t xml:space="preserve">Under the LGPIH Act 2007, for an area of more than 2,500 electors the petition threshold is</w:t>
      </w:r>
      <w:r>
        <w:t xml:space="preserve"> </w:t>
      </w:r>
      <w:r>
        <w:rPr>
          <w:b/>
          <w:bCs/>
        </w:rPr>
        <w:t xml:space="preserve">7.5% of electors</w:t>
      </w:r>
      <w:r>
        <w:t xml:space="preserve">. On the area’s 55,125 electors, that is</w:t>
      </w:r>
      <w:r>
        <w:t xml:space="preserve"> </w:t>
      </w:r>
      <w:r>
        <w:rPr>
          <w:b/>
          <w:bCs/>
        </w:rPr>
        <w:t xml:space="preserve">about 4,135 valid signatures</w:t>
      </w:r>
      <w:r>
        <w:t xml:space="preserve"> </w:t>
      </w:r>
      <w:r>
        <w:t xml:space="preserve">to oblige Buckinghamshire to undertake a review [ground_truth.json]. This is the backstop: if the council will not act, residents can compel it.</w:t>
      </w:r>
      <w:r>
        <w:t xml:space="preserve"> </w:t>
      </w:r>
      <w:r>
        <w:rPr>
          <w:i/>
          <w:iCs/>
        </w:rPr>
        <w:t xml:space="preserve">(Threshold scale: under 500 electors, 37.5%; 500–2,500, a fixed 187; over 2,500, 7.5%.)</w:t>
      </w:r>
    </w:p>
    <w:p>
      <w:pPr>
        <w:pStyle w:val="BodyText"/>
      </w:pPr>
      <w:r>
        <w:rPr>
          <w:b/>
          <w:bCs/>
        </w:rPr>
        <w:t xml:space="preserve">On the low-turnout objection.</w:t>
      </w:r>
      <w:r>
        <w:t xml:space="preserve"> </w:t>
      </w:r>
      <w:r>
        <w:t xml:space="preserve">The 2024 rejection leaned on the 4.6% response rate. The principle cuts both ways: a low response rate cannot be read as a silent majority against. Review guidance requires clear positive local support for a change, and 60% of those who responded gave it [ground_truth.json]. A fresh review should be engineered for higher response. The 2024 door-drop reached 60% of respondents [ground_truth.json], so saturation canvassing across the high-support wards is the proven channel.</w:t>
      </w:r>
    </w:p>
    <w:p>
      <w:pPr>
        <w:pStyle w:val="BodyText"/>
      </w:pPr>
      <w:r>
        <w:rPr>
          <w:b/>
          <w:bCs/>
        </w:rPr>
        <w:t xml:space="preserve">Indicative timeline.</w:t>
      </w:r>
      <w:r>
        <w:t xml:space="preserve"> </w:t>
      </w:r>
      <w:r>
        <w:t xml:space="preserve">A CGR, once initiated, typically runs about 12 months (terms of reference → consultation → draft recommendations → final order). Aligned to the next Buckinghamshire electoral cycle, a town council could hold its first elections co-timed with those, minimising cost and maximising founding turnout.</w:t>
      </w:r>
    </w:p>
    <w:p>
      <w:r>
        <w:pict>
          <v:rect style="width:0;height:1.5pt" o:hralign="center" o:hrstd="t" o:hr="t"/>
        </w:pict>
      </w:r>
    </w:p>
    <w:bookmarkEnd w:id="16"/>
    <w:bookmarkStart w:id="17" w:name="Xcc47437b6ed800090c3a95db598e1e3adbbc4b4"/>
    <w:p>
      <w:pPr>
        <w:pStyle w:val="Heading2"/>
      </w:pPr>
      <w:r>
        <w:t xml:space="preserve">9. Answering the obvious councillor objections</w:t>
      </w:r>
    </w:p>
    <w:p>
      <w:pPr>
        <w:pStyle w:val="FirstParagraph"/>
      </w:pPr>
      <w:r>
        <w:rPr>
          <w:b/>
          <w:bCs/>
        </w:rPr>
        <w:t xml:space="preserve">“We settled this in 2024. Why spend officer time again?”</w:t>
      </w:r>
      <w:r>
        <w:t xml:space="preserve"> </w:t>
      </w:r>
      <w:r>
        <w:t xml:space="preserve">Two material things have changed. The political composition that produced the rejection no longer holds (No Overall Control since May 2025), and this prospectus answers the specific criticism the 2024 decision rested on, that there was</w:t>
      </w:r>
      <w:r>
        <w:t xml:space="preserve"> </w:t>
      </w:r>
      <w:r>
        <w:t xml:space="preserve">“no proper detail”</w:t>
      </w:r>
      <w:r>
        <w:t xml:space="preserve">. A fresh review is not re-running the same question; it is asking it with a costed proposal and an engineered consultation designed to beat the response rate that sank the last one.</w:t>
      </w:r>
    </w:p>
    <w:p>
      <w:pPr>
        <w:pStyle w:val="BodyText"/>
      </w:pPr>
      <w:r>
        <w:rPr>
          <w:b/>
          <w:bCs/>
        </w:rPr>
        <w:t xml:space="preserve">“The public said they won’t pay (Q3: No 46% / Yes 43%).”</w:t>
      </w:r>
      <w:r>
        <w:t xml:space="preserve"> </w:t>
      </w:r>
      <w:r>
        <w:t xml:space="preserve">That figure is real and is addressed in §4. The willingness-to-pay</w:t>
      </w:r>
      <w:r>
        <w:t xml:space="preserve"> </w:t>
      </w:r>
      <w:r>
        <w:t xml:space="preserve">“No”</w:t>
      </w:r>
      <w:r>
        <w:t xml:space="preserve"> </w:t>
      </w:r>
      <w:r>
        <w:t xml:space="preserve">is overwhelmingly composed of keep-current voters (who refused by 95% to 2%), while town-council supporters were willing to pay by 69% to 16% [ground_truth.json]. The price objection is downstream of the principle objection, not a separate veto. It does mean any fresh consultation must put a specific, capped figure in front of residents rather than an open-ended</w:t>
      </w:r>
      <w:r>
        <w:t xml:space="preserve"> </w:t>
      </w:r>
      <w:r>
        <w:t xml:space="preserve">“would you pay a precept?”</w:t>
      </w:r>
      <w:r>
        <w:t xml:space="preserve">, which invites a defensive No.</w:t>
      </w:r>
    </w:p>
    <w:p>
      <w:pPr>
        <w:pStyle w:val="BodyText"/>
      </w:pPr>
      <w:r>
        <w:rPr>
          <w:b/>
          <w:bCs/>
        </w:rPr>
        <w:t xml:space="preserve">“This just adds a layer of local government.”</w:t>
      </w:r>
      <w:r>
        <w:t xml:space="preserve"> </w:t>
      </w:r>
      <w:r>
        <w:t xml:space="preserve">It does not add a layer so much as replace an unelected one. The Charter Trustees and the current Town Committee arrangement would be wound up, with the mayoralty and civic regalia passing to the new elected body, in the manner provided by the charter-trustee dissolution rules [SI 2008/625 reg 15; verify scope]. The result is one accountable, directly-elected body in place of two appointed ones, not three tiers where there were two.</w:t>
      </w:r>
    </w:p>
    <w:p>
      <w:r>
        <w:pict>
          <v:rect style="width:0;height:1.5pt" o:hralign="center" o:hrstd="t" o:hr="t"/>
        </w:pict>
      </w:r>
    </w:p>
    <w:bookmarkEnd w:id="17"/>
    <w:bookmarkStart w:id="19" w:name="risks-and-mitigations"/>
    <w:p>
      <w:pPr>
        <w:pStyle w:val="Heading2"/>
      </w:pPr>
      <w:r>
        <w:t xml:space="preserve">10. Risks and mitigations</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Risk</w:t>
            </w:r>
          </w:p>
        </w:tc>
        <w:tc>
          <w:tcPr/>
          <w:p>
            <w:pPr>
              <w:pStyle w:val="Compact"/>
            </w:pPr>
            <w:r>
              <w:t xml:space="preserve">Mitigation</w:t>
            </w:r>
          </w:p>
        </w:tc>
      </w:tr>
      <w:tr>
        <w:tc>
          <w:tcPr/>
          <w:p>
            <w:pPr>
              <w:pStyle w:val="Compact"/>
            </w:pPr>
            <w:r>
              <w:rPr>
                <w:b/>
                <w:bCs/>
              </w:rPr>
              <w:t xml:space="preserve">“Double taxation”</w:t>
            </w:r>
            <w:r>
              <w:rPr>
                <w:b/>
                <w:bCs/>
              </w:rPr>
              <w:t xml:space="preserve"> </w:t>
            </w:r>
            <w:r>
              <w:rPr>
                <w:b/>
                <w:bCs/>
              </w:rPr>
              <w:t xml:space="preserve">/ extra cost</w:t>
            </w:r>
          </w:p>
        </w:tc>
        <w:tc>
          <w:tcPr/>
          <w:p>
            <w:pPr>
              <w:pStyle w:val="Compact"/>
            </w:pPr>
            <w:r>
              <w:t xml:space="preserve">Residents already fund the Town Committee/Charter Trustees; the precept makes that accountable. Pair with asset devolution and a commensurate Bucks charge reduction (§4). Launch precept capped at £60–90 Band D.</w:t>
            </w:r>
          </w:p>
        </w:tc>
      </w:tr>
      <w:tr>
        <w:tc>
          <w:tcPr/>
          <w:p>
            <w:pPr>
              <w:pStyle w:val="Compact"/>
            </w:pPr>
            <w:r>
              <w:rPr>
                <w:b/>
                <w:bCs/>
              </w:rPr>
              <w:t xml:space="preserve">Net-negative willingness to pay (Q3)</w:t>
            </w:r>
          </w:p>
        </w:tc>
        <w:tc>
          <w:tcPr/>
          <w:p>
            <w:pPr>
              <w:pStyle w:val="Compact"/>
            </w:pPr>
            <w:r>
              <w:t xml:space="preserve">Put a specific, capped figure to residents, not an open-ended precept question; win the principle, on which the price follows (§4).</w:t>
            </w:r>
          </w:p>
        </w:tc>
      </w:tr>
      <w:tr>
        <w:tc>
          <w:tcPr/>
          <w:p>
            <w:pPr>
              <w:pStyle w:val="Compact"/>
            </w:pPr>
            <w:r>
              <w:rPr>
                <w:b/>
                <w:bCs/>
              </w:rPr>
              <w:t xml:space="preserve">Council without assets stalls</w:t>
            </w:r>
            <w:r>
              <w:t xml:space="preserve"> </w:t>
            </w:r>
            <w:r>
              <w:t xml:space="preserve">(Sutton Coldfield underspend)</w:t>
            </w:r>
          </w:p>
        </w:tc>
        <w:tc>
          <w:tcPr/>
          <w:p>
            <w:pPr>
              <w:pStyle w:val="Compact"/>
            </w:pPr>
            <w:r>
              <w:t xml:space="preserve">Settle the asset and service package in the review terms in writing; phase transfers; budget the first year realistically.</w:t>
            </w:r>
          </w:p>
        </w:tc>
      </w:tr>
      <w:tr>
        <w:tc>
          <w:tcPr/>
          <w:p>
            <w:pPr>
              <w:pStyle w:val="Compact"/>
            </w:pPr>
            <w:r>
              <w:rPr>
                <w:b/>
                <w:bCs/>
              </w:rPr>
              <w:t xml:space="preserve">Precept ratcheting backlash</w:t>
            </w:r>
          </w:p>
        </w:tc>
        <w:tc>
          <w:tcPr/>
          <w:p>
            <w:pPr>
              <w:pStyle w:val="Compact"/>
            </w:pPr>
            <w:r>
              <w:t xml:space="preserve">Published capped-launch commitment; precept policy; participatory budgeting puts residents in control of spend.</w:t>
            </w:r>
          </w:p>
        </w:tc>
      </w:tr>
      <w:tr>
        <w:tc>
          <w:tcPr/>
          <w:p>
            <w:pPr>
              <w:pStyle w:val="Compact"/>
            </w:pPr>
            <w:r>
              <w:rPr>
                <w:b/>
                <w:bCs/>
              </w:rPr>
              <w:t xml:space="preserve">Faction / single-party capture</w:t>
            </w:r>
          </w:p>
        </w:tc>
        <w:tc>
          <w:tcPr/>
          <w:p>
            <w:pPr>
              <w:pStyle w:val="Compact"/>
            </w:pPr>
            <w:r>
              <w:t xml:space="preserve">Cross-party founding council and conduct code from day one; non-partisan campaign vehicle.</w:t>
            </w:r>
          </w:p>
        </w:tc>
      </w:tr>
      <w:tr>
        <w:tc>
          <w:tcPr/>
          <w:p>
            <w:pPr>
              <w:pStyle w:val="Compact"/>
            </w:pPr>
            <w:r>
              <w:rPr>
                <w:b/>
                <w:bCs/>
              </w:rPr>
              <w:t xml:space="preserve">Low-response rejection repeat</w:t>
            </w:r>
          </w:p>
        </w:tc>
        <w:tc>
          <w:tcPr/>
          <w:p>
            <w:pPr>
              <w:pStyle w:val="Compact"/>
            </w:pPr>
            <w:r>
              <w:t xml:space="preserve">Engineer the fresh consultation for high response (saturation door-drop in high-support wards); the 60% positive signal already exists.</w:t>
            </w:r>
          </w:p>
        </w:tc>
      </w:tr>
      <w:tr>
        <w:tc>
          <w:tcPr/>
          <w:p>
            <w:pPr>
              <w:pStyle w:val="Compact"/>
            </w:pPr>
            <w:r>
              <w:rPr>
                <w:b/>
                <w:bCs/>
              </w:rPr>
              <w:t xml:space="preserve">Loss of consent → abolition</w:t>
            </w:r>
            <w:r>
              <w:t xml:space="preserve"> </w:t>
            </w:r>
            <w:r>
              <w:t xml:space="preserve">(Lickey End)</w:t>
            </w:r>
          </w:p>
        </w:tc>
        <w:tc>
          <w:tcPr/>
          <w:p>
            <w:pPr>
              <w:pStyle w:val="Compact"/>
            </w:pPr>
            <w:r>
              <w:t xml:space="preserve">Sustained legitimacy via low launch precept, participatory budgeting, broad council; deliver visible early wins.</w:t>
            </w:r>
          </w:p>
        </w:tc>
      </w:tr>
      <w:tr>
        <w:tc>
          <w:tcPr/>
          <w:p>
            <w:pPr>
              <w:pStyle w:val="Compact"/>
            </w:pPr>
            <w:r>
              <w:rPr>
                <w:b/>
                <w:bCs/>
              </w:rPr>
              <w:t xml:space="preserve">Boundary conflation</w:t>
            </w:r>
            <w:r>
              <w:t xml:space="preserve"> </w:t>
            </w:r>
            <w:r>
              <w:t xml:space="preserve">(opponents widen the area to dilute support)</w:t>
            </w:r>
          </w:p>
        </w:tc>
        <w:tc>
          <w:tcPr/>
          <w:p>
            <w:pPr>
              <w:pStyle w:val="Compact"/>
            </w:pPr>
            <w:r>
              <w:t xml:space="preserve">Anchor firmly to the 7-ward unparished core; exclude already-parished Chiltern Villages and Tylers Green and Loudwater explicitly.</w:t>
            </w:r>
          </w:p>
        </w:tc>
      </w:tr>
      <w:tr>
        <w:tc>
          <w:tcPr/>
          <w:p>
            <w:pPr>
              <w:pStyle w:val="Compact"/>
            </w:pPr>
            <w:r>
              <w:rPr>
                <w:b/>
                <w:bCs/>
              </w:rPr>
              <w:t xml:space="preserve">Asset transfer is not a financial gift</w:t>
            </w:r>
          </w:p>
        </w:tc>
        <w:tc>
          <w:tcPr/>
          <w:p>
            <w:pPr>
              <w:pStyle w:val="Compact"/>
            </w:pPr>
            <w:r>
              <w:t xml:space="preserve">State openly that Wiltshire’s model is cost-neutral and bespoke; do not promise net savings the negotiation may not deliver.</w:t>
            </w:r>
          </w:p>
        </w:tc>
      </w:tr>
    </w:tbl>
    <w:p>
      <w:r>
        <w:pict>
          <v:rect style="width:0;height:1.5pt" o:hralign="center" o:hrstd="t" o:hr="t"/>
        </w:pict>
      </w:r>
    </w:p>
    <w:bookmarkStart w:id="18" w:name="sources"/>
    <w:p>
      <w:pPr>
        <w:pStyle w:val="Heading3"/>
      </w:pPr>
      <w:r>
        <w:t xml:space="preserve">Sources</w:t>
      </w:r>
    </w:p>
    <w:p>
      <w:pPr>
        <w:pStyle w:val="FirstParagraph"/>
      </w:pPr>
      <w:r>
        <w:t xml:space="preserve">CGR consultation results, electorate, willingness-to-pay split, and ward figures:</w:t>
      </w:r>
      <w:r>
        <w:t xml:space="preserve"> </w:t>
      </w:r>
      <w:r>
        <w:rPr>
          <w:rStyle w:val="VerbatimChar"/>
        </w:rPr>
        <w:t xml:space="preserve">data/wycombe/inputs/ground_truth.json</w:t>
      </w:r>
      <w:r>
        <w:t xml:space="preserve">. Ward universe and boundaries:</w:t>
      </w:r>
      <w:r>
        <w:t xml:space="preserve"> </w:t>
      </w:r>
      <w:r>
        <w:rPr>
          <w:rStyle w:val="VerbatimChar"/>
        </w:rPr>
        <w:t xml:space="preserve">data/wycombe/inputs/wards.json</w:t>
      </w:r>
      <w:r>
        <w:t xml:space="preserve">. Comparators and mechanisms (full URLs in the research dossier): Sutton Coldfield TC budget pages and Birmingham Eastside underspend reporting; Frome TC participatory-budgeting and budget PDFs; Salisbury CC finance and Wiltshire CC asset-transfer record; Lickey End parish-abolition record; Buckinghamshire CIL charging schedule and the CIL neighbourhood-portion mechanics; HWBIDCo ballot record and Buckinghamshire moderngov decision record; PWLB lending terms; GPC Prescribed Conditions Order 2012; LGA 1972 s.79; SI 2008/625 reg 15 (charter-trustee dissolution and asset transfer); LGPIH Act 2007 Part 4 (electoral arrangements and petition threshold); LGBCE Guidance on Community Governance Reviews. Figures not anchored to the local ground-truth file (comparator precepts, the CGR timeline, BID ballot details) should be confirmed against primary sources before publication.</w:t>
      </w:r>
    </w:p>
    <w:p>
      <w:pPr>
        <w:pStyle w:val="BodyText"/>
      </w:pPr>
      <w:r>
        <w:rPr>
          <w:i/>
          <w:iCs/>
        </w:rPr>
        <w:t xml:space="preserve">This prospectus models the structure, cost and powers of a possible town council. It does not substitute for a formal Community Governance Review, which remains the only statutory route to creation. It models expressed opinion, not turnout-weighted referendum behaviour.</w:t>
      </w:r>
    </w:p>
    <w:bookmarkEnd w:id="18"/>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2026-06-09T00:26:08Z</dcterms:created>
  <dcterms:modified xsi:type="dcterms:W3CDTF">2026-06-09T00:26:08Z</dcterms:modified>
</cp:coreProperties>
</file>

<file path=docProps/custom.xml><?xml version="1.0" encoding="utf-8"?>
<Properties xmlns="http://schemas.openxmlformats.org/officeDocument/2006/custom-properties" xmlns:vt="http://schemas.openxmlformats.org/officeDocument/2006/docPropsVTypes"/>
</file>